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Quattrocento Sans" w:cs="Quattrocento Sans" w:eastAsia="Quattrocento Sans" w:hAnsi="Quattrocento Sans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sz w:val="32"/>
          <w:szCs w:val="32"/>
          <w:rtl w:val="0"/>
        </w:rPr>
        <w:t xml:space="preserve">SWOT ANALYSIS for</w:t>
      </w:r>
      <w:r w:rsidDel="00000000" w:rsidR="00000000" w:rsidRPr="00000000">
        <w:rPr>
          <w:rFonts w:ascii="Quattrocento Sans" w:cs="Quattrocento Sans" w:eastAsia="Quattrocento Sans" w:hAnsi="Quattrocento Sans"/>
          <w:sz w:val="32"/>
          <w:szCs w:val="32"/>
          <w:rtl w:val="0"/>
        </w:rPr>
        <w:t xml:space="preserve"> _______________________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rFonts w:ascii="Quattrocento Sans" w:cs="Quattrocento Sans" w:eastAsia="Quattrocento Sans" w:hAnsi="Quattrocento Sans"/>
          <w:sz w:val="32"/>
          <w:szCs w:val="32"/>
          <w:rtl w:val="0"/>
        </w:rPr>
        <w:tab/>
        <w:tab/>
      </w:r>
    </w:p>
    <w:p w:rsidR="00000000" w:rsidDel="00000000" w:rsidP="00000000" w:rsidRDefault="00000000" w:rsidRPr="00000000" w14:paraId="00000002">
      <w:pPr>
        <w:spacing w:after="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0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2965"/>
        <w:gridCol w:w="4229"/>
        <w:gridCol w:w="4321"/>
        <w:gridCol w:w="2875"/>
        <w:tblGridChange w:id="0">
          <w:tblGrid>
            <w:gridCol w:w="2965"/>
            <w:gridCol w:w="4229"/>
            <w:gridCol w:w="4321"/>
            <w:gridCol w:w="287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Lato" w:cs="Lato" w:eastAsia="Lato" w:hAnsi="Lato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Example ideas to consider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STRENGTHS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WEAKNESSES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900"/>
              </w:tabs>
              <w:jc w:val="center"/>
              <w:rPr>
                <w:rFonts w:ascii="Lato" w:cs="Lato" w:eastAsia="Lato" w:hAnsi="Lato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Example ideas to consider</w:t>
            </w:r>
          </w:p>
        </w:tc>
      </w:tr>
      <w:tr>
        <w:trPr>
          <w:trHeight w:val="406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7" w:right="0" w:hanging="9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Channels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7" w:right="0" w:hanging="90"/>
              <w:jc w:val="left"/>
              <w:rPr>
                <w:rFonts w:ascii="Lato" w:cs="Lato" w:eastAsia="Lato" w:hAnsi="Lato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Leaders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7" w:right="0" w:hanging="90"/>
              <w:jc w:val="left"/>
              <w:rPr>
                <w:rFonts w:ascii="Lato" w:cs="Lato" w:eastAsia="Lato" w:hAnsi="Lato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Culture/Values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7" w:right="0" w:hanging="90"/>
              <w:jc w:val="left"/>
              <w:rPr>
                <w:rFonts w:ascii="Lato" w:cs="Lato" w:eastAsia="Lato" w:hAnsi="Lato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Previous work done well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72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Channels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Leaders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Culture/Values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Lato" w:cs="Lato" w:eastAsia="Lato" w:hAnsi="Lato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Example ideas to consider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OPPORTUNITIES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THREATS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Example ideas to consider</w:t>
            </w:r>
          </w:p>
        </w:tc>
      </w:tr>
      <w:tr>
        <w:trPr>
          <w:trHeight w:val="4160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Add’l or better channels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Focus groups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Stakeholders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Seed ahead of time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Learn from past mistakes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</w:rPr>
            </w:pPr>
            <w:bookmarkStart w:colFirst="0" w:colLast="0" w:name="_ben0r9qhcwb" w:id="1"/>
            <w:bookmarkEnd w:id="1"/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Leaked emails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</w:rPr>
            </w:pPr>
            <w:bookmarkStart w:colFirst="0" w:colLast="0" w:name="_le99ieldcxfy" w:id="2"/>
            <w:bookmarkEnd w:id="2"/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</w:rPr>
            </w:pPr>
            <w:bookmarkStart w:colFirst="0" w:colLast="0" w:name="_tb72qxeapup4" w:id="3"/>
            <w:bookmarkEnd w:id="3"/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Employees tweeting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  <w:u w:val="none"/>
              </w:rPr>
            </w:pPr>
            <w:bookmarkStart w:colFirst="0" w:colLast="0" w:name="_yok3qetki6vg" w:id="4"/>
            <w:bookmarkEnd w:id="4"/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Activist shareholders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  <w:u w:val="none"/>
              </w:rPr>
            </w:pPr>
            <w:bookmarkStart w:colFirst="0" w:colLast="0" w:name="_gxb69y8wreus" w:id="5"/>
            <w:bookmarkEnd w:id="5"/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Counterproductive policies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  <w:u w:val="none"/>
              </w:rPr>
            </w:pPr>
            <w:bookmarkStart w:colFirst="0" w:colLast="0" w:name="_4nv9db6ml9u0" w:id="6"/>
            <w:bookmarkEnd w:id="6"/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Ethical boundaries/gaps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7" w:right="0" w:hanging="90"/>
              <w:jc w:val="left"/>
              <w:rPr>
                <w:rFonts w:ascii="Lato" w:cs="Lato" w:eastAsia="Lato" w:hAnsi="Lato"/>
                <w:sz w:val="18"/>
                <w:szCs w:val="18"/>
                <w:u w:val="none"/>
              </w:rPr>
            </w:pPr>
            <w:bookmarkStart w:colFirst="0" w:colLast="0" w:name="_lwbc9wa0te3l" w:id="7"/>
            <w:bookmarkEnd w:id="7"/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Social/environmental responsibility gaps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ADDITIONAL NOTES:</w:t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